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423"/>
        <w:gridCol w:w="539"/>
        <w:gridCol w:w="1618"/>
        <w:gridCol w:w="539"/>
        <w:gridCol w:w="994"/>
        <w:gridCol w:w="458"/>
      </w:tblGrid>
      <w:tr w:rsidR="00B064D4" w:rsidRPr="00B064D4" w:rsidTr="00246E28">
        <w:tc>
          <w:tcPr>
            <w:tcW w:w="5508" w:type="dxa"/>
          </w:tcPr>
          <w:p w:rsidR="00B064D4" w:rsidRPr="00B064D4" w:rsidRDefault="00B064D4" w:rsidP="00B064D4">
            <w:pPr>
              <w:tabs>
                <w:tab w:val="left" w:pos="709"/>
              </w:tabs>
              <w:spacing w:line="240" w:lineRule="exact"/>
              <w:rPr>
                <w:szCs w:val="28"/>
              </w:rPr>
            </w:pPr>
          </w:p>
        </w:tc>
        <w:tc>
          <w:tcPr>
            <w:tcW w:w="4062" w:type="dxa"/>
            <w:gridSpan w:val="5"/>
          </w:tcPr>
          <w:p w:rsidR="00B064D4" w:rsidRPr="00B064D4" w:rsidRDefault="00B064D4" w:rsidP="00B064D4">
            <w:pPr>
              <w:rPr>
                <w:szCs w:val="28"/>
              </w:rPr>
            </w:pPr>
            <w:r w:rsidRPr="00B064D4">
              <w:rPr>
                <w:szCs w:val="28"/>
              </w:rPr>
              <w:t>УТВЕРЖДЕНО</w:t>
            </w:r>
          </w:p>
          <w:p w:rsidR="00B064D4" w:rsidRPr="00B064D4" w:rsidRDefault="00B064D4" w:rsidP="00B064D4">
            <w:pPr>
              <w:tabs>
                <w:tab w:val="left" w:pos="709"/>
              </w:tabs>
              <w:spacing w:line="240" w:lineRule="exact"/>
              <w:rPr>
                <w:szCs w:val="28"/>
              </w:rPr>
            </w:pPr>
            <w:r w:rsidRPr="00B064D4">
              <w:rPr>
                <w:szCs w:val="28"/>
              </w:rPr>
              <w:t>постановлением</w:t>
            </w:r>
          </w:p>
          <w:p w:rsidR="00B064D4" w:rsidRPr="00B064D4" w:rsidRDefault="00B064D4" w:rsidP="00B064D4">
            <w:pPr>
              <w:tabs>
                <w:tab w:val="left" w:pos="709"/>
              </w:tabs>
              <w:spacing w:line="240" w:lineRule="exact"/>
              <w:rPr>
                <w:szCs w:val="28"/>
              </w:rPr>
            </w:pPr>
            <w:r w:rsidRPr="00B064D4">
              <w:rPr>
                <w:szCs w:val="28"/>
              </w:rPr>
              <w:t>Законодательного Собрания</w:t>
            </w:r>
          </w:p>
          <w:p w:rsidR="00B064D4" w:rsidRPr="00B064D4" w:rsidRDefault="00B064D4" w:rsidP="00B064D4">
            <w:pPr>
              <w:tabs>
                <w:tab w:val="left" w:pos="709"/>
              </w:tabs>
              <w:spacing w:line="240" w:lineRule="exact"/>
              <w:rPr>
                <w:szCs w:val="28"/>
              </w:rPr>
            </w:pPr>
            <w:r w:rsidRPr="00B064D4">
              <w:rPr>
                <w:szCs w:val="28"/>
              </w:rPr>
              <w:t>Кировской области</w:t>
            </w:r>
          </w:p>
        </w:tc>
      </w:tr>
      <w:tr w:rsidR="00B064D4" w:rsidRPr="00B064D4" w:rsidTr="00246E28">
        <w:tc>
          <w:tcPr>
            <w:tcW w:w="5508" w:type="dxa"/>
          </w:tcPr>
          <w:p w:rsidR="00B064D4" w:rsidRPr="00B064D4" w:rsidRDefault="00B064D4" w:rsidP="00B064D4">
            <w:pPr>
              <w:tabs>
                <w:tab w:val="left" w:pos="709"/>
              </w:tabs>
              <w:rPr>
                <w:szCs w:val="28"/>
              </w:rPr>
            </w:pPr>
          </w:p>
        </w:tc>
        <w:tc>
          <w:tcPr>
            <w:tcW w:w="540" w:type="dxa"/>
            <w:vAlign w:val="bottom"/>
          </w:tcPr>
          <w:p w:rsidR="00B064D4" w:rsidRPr="00B064D4" w:rsidRDefault="00B064D4" w:rsidP="00B064D4">
            <w:pPr>
              <w:rPr>
                <w:szCs w:val="28"/>
              </w:rPr>
            </w:pPr>
            <w:r w:rsidRPr="00B064D4">
              <w:rPr>
                <w:szCs w:val="28"/>
              </w:rPr>
              <w:t>от</w:t>
            </w:r>
          </w:p>
        </w:tc>
        <w:tc>
          <w:tcPr>
            <w:tcW w:w="1620" w:type="dxa"/>
            <w:tcBorders>
              <w:bottom w:val="single" w:sz="4" w:space="0" w:color="auto"/>
            </w:tcBorders>
            <w:vAlign w:val="bottom"/>
          </w:tcPr>
          <w:p w:rsidR="00B064D4" w:rsidRPr="00B064D4" w:rsidRDefault="00EC7E45" w:rsidP="00B064D4">
            <w:pPr>
              <w:rPr>
                <w:szCs w:val="28"/>
              </w:rPr>
            </w:pPr>
            <w:r>
              <w:rPr>
                <w:szCs w:val="28"/>
              </w:rPr>
              <w:t>26.05.2022</w:t>
            </w:r>
          </w:p>
        </w:tc>
        <w:tc>
          <w:tcPr>
            <w:tcW w:w="540" w:type="dxa"/>
            <w:vAlign w:val="bottom"/>
          </w:tcPr>
          <w:p w:rsidR="00B064D4" w:rsidRPr="00B064D4" w:rsidRDefault="00B064D4" w:rsidP="00B064D4">
            <w:pPr>
              <w:rPr>
                <w:szCs w:val="28"/>
              </w:rPr>
            </w:pPr>
            <w:r w:rsidRPr="00B064D4">
              <w:rPr>
                <w:szCs w:val="28"/>
              </w:rPr>
              <w:t>№</w:t>
            </w:r>
          </w:p>
        </w:tc>
        <w:tc>
          <w:tcPr>
            <w:tcW w:w="900" w:type="dxa"/>
            <w:tcBorders>
              <w:bottom w:val="single" w:sz="4" w:space="0" w:color="auto"/>
            </w:tcBorders>
            <w:vAlign w:val="bottom"/>
          </w:tcPr>
          <w:p w:rsidR="00B064D4" w:rsidRPr="00B064D4" w:rsidRDefault="00EC7E45" w:rsidP="00B064D4">
            <w:pPr>
              <w:rPr>
                <w:szCs w:val="28"/>
              </w:rPr>
            </w:pPr>
            <w:r>
              <w:rPr>
                <w:szCs w:val="28"/>
              </w:rPr>
              <w:t>11/123</w:t>
            </w:r>
          </w:p>
        </w:tc>
        <w:tc>
          <w:tcPr>
            <w:tcW w:w="462" w:type="dxa"/>
            <w:vAlign w:val="bottom"/>
          </w:tcPr>
          <w:p w:rsidR="00B064D4" w:rsidRPr="00B064D4" w:rsidRDefault="00B064D4" w:rsidP="00B064D4">
            <w:pPr>
              <w:rPr>
                <w:szCs w:val="28"/>
              </w:rPr>
            </w:pPr>
          </w:p>
        </w:tc>
      </w:tr>
    </w:tbl>
    <w:p w:rsidR="00B064D4" w:rsidRPr="004447E9" w:rsidRDefault="00B064D4" w:rsidP="004447E9">
      <w:pPr>
        <w:rPr>
          <w:szCs w:val="28"/>
        </w:rPr>
      </w:pPr>
    </w:p>
    <w:p w:rsidR="00D8791D" w:rsidRPr="004447E9" w:rsidRDefault="00D8791D" w:rsidP="004447E9">
      <w:pPr>
        <w:spacing w:line="240" w:lineRule="exact"/>
        <w:ind w:firstLine="708"/>
        <w:rPr>
          <w:szCs w:val="28"/>
        </w:rPr>
      </w:pPr>
    </w:p>
    <w:p w:rsidR="00D8791D" w:rsidRPr="004447E9" w:rsidRDefault="00D8791D" w:rsidP="00D8791D">
      <w:pPr>
        <w:rPr>
          <w:szCs w:val="28"/>
        </w:rPr>
      </w:pPr>
    </w:p>
    <w:p w:rsidR="00D8791D" w:rsidRPr="00F54FD7" w:rsidRDefault="00D8791D" w:rsidP="00D8791D">
      <w:pPr>
        <w:jc w:val="center"/>
        <w:rPr>
          <w:b/>
        </w:rPr>
      </w:pPr>
      <w:r w:rsidRPr="00F54FD7">
        <w:rPr>
          <w:b/>
        </w:rPr>
        <w:t>ПОЛОЖЕНИЕ</w:t>
      </w:r>
    </w:p>
    <w:p w:rsidR="00D8791D" w:rsidRPr="00F54FD7" w:rsidRDefault="00D8791D" w:rsidP="00D8791D">
      <w:pPr>
        <w:jc w:val="center"/>
        <w:rPr>
          <w:b/>
        </w:rPr>
      </w:pPr>
      <w:r w:rsidRPr="00F54FD7">
        <w:rPr>
          <w:b/>
        </w:rPr>
        <w:t xml:space="preserve">о Благодарственном письме Законодательного Собрания </w:t>
      </w:r>
    </w:p>
    <w:p w:rsidR="00D8791D" w:rsidRPr="00F54FD7" w:rsidRDefault="00D8791D" w:rsidP="00D8791D">
      <w:pPr>
        <w:jc w:val="center"/>
        <w:rPr>
          <w:b/>
        </w:rPr>
      </w:pPr>
      <w:r w:rsidRPr="00F54FD7">
        <w:rPr>
          <w:b/>
        </w:rPr>
        <w:t>Кировской области</w:t>
      </w:r>
    </w:p>
    <w:p w:rsidR="00D8791D" w:rsidRPr="00F54FD7" w:rsidRDefault="00D8791D" w:rsidP="00D8791D">
      <w:pPr>
        <w:ind w:firstLine="709"/>
        <w:jc w:val="both"/>
      </w:pPr>
    </w:p>
    <w:p w:rsidR="00D8791D" w:rsidRPr="00F54FD7" w:rsidRDefault="00D8791D" w:rsidP="00D8791D">
      <w:pPr>
        <w:autoSpaceDE w:val="0"/>
        <w:autoSpaceDN w:val="0"/>
        <w:adjustRightInd w:val="0"/>
        <w:ind w:firstLine="709"/>
        <w:jc w:val="both"/>
        <w:rPr>
          <w:rFonts w:eastAsia="Calibri"/>
          <w:szCs w:val="28"/>
        </w:rPr>
      </w:pPr>
      <w:bookmarkStart w:id="0" w:name="Par0"/>
      <w:bookmarkEnd w:id="0"/>
      <w:r w:rsidRPr="00F54FD7">
        <w:rPr>
          <w:rFonts w:eastAsia="Calibri"/>
          <w:szCs w:val="28"/>
        </w:rPr>
        <w:t>1. Благодарственное письмо Законодательного Собрания Кировской области (далее – Благодарственное письмо) является формой поощрения за достижения в совершенствовани</w:t>
      </w:r>
      <w:r w:rsidR="00737911">
        <w:rPr>
          <w:rFonts w:eastAsia="Calibri"/>
          <w:szCs w:val="28"/>
        </w:rPr>
        <w:t>и</w:t>
      </w:r>
      <w:r w:rsidRPr="00F54FD7">
        <w:rPr>
          <w:rFonts w:eastAsia="Calibri"/>
          <w:szCs w:val="28"/>
        </w:rPr>
        <w:t xml:space="preserve"> закон</w:t>
      </w:r>
      <w:r w:rsidR="00737911">
        <w:rPr>
          <w:rFonts w:eastAsia="Calibri"/>
          <w:szCs w:val="28"/>
        </w:rPr>
        <w:t xml:space="preserve">одательства Кировской области, </w:t>
      </w:r>
      <w:r w:rsidRPr="00F54FD7">
        <w:rPr>
          <w:rFonts w:eastAsia="Calibri"/>
          <w:szCs w:val="28"/>
        </w:rPr>
        <w:t>высокие показатели в служебной и трудовой деятельности, активное участие в решении общественно значимых задач, способствующих социально-экономическому развитию Кировской области, и иные достижения.</w:t>
      </w:r>
    </w:p>
    <w:p w:rsidR="00D8791D" w:rsidRPr="00F54FD7" w:rsidRDefault="00D8791D" w:rsidP="00D8791D">
      <w:pPr>
        <w:autoSpaceDE w:val="0"/>
        <w:autoSpaceDN w:val="0"/>
        <w:adjustRightInd w:val="0"/>
        <w:ind w:firstLine="709"/>
        <w:jc w:val="both"/>
        <w:rPr>
          <w:rFonts w:eastAsia="Calibri"/>
          <w:szCs w:val="28"/>
        </w:rPr>
      </w:pPr>
      <w:bookmarkStart w:id="1" w:name="Par2"/>
      <w:bookmarkEnd w:id="1"/>
      <w:r w:rsidRPr="00F54FD7">
        <w:rPr>
          <w:rFonts w:eastAsia="Calibri"/>
          <w:szCs w:val="28"/>
        </w:rPr>
        <w:t>2. Благодарственным письмом могут быть награждены граждане, имеющие общий трудовой стаж не менее трех лет в организациях, осуществляющих свою деятельность на территории Кировской области, заслуги которых ранее отмечены документально подтвержденными поощрениями органов государственной власти Кировской области, органов местного самоуправления муниципальных образований Кировской области, организаций.</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Требования к стажу и наличию документально подтвержденных поощрений не предъявляются при награждении за активное участие в реализации общественно значимых проектов, заслуги перед Кировской областью.</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Награждение Благодарственным письмом посмертно не производится.</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3. Благодарственным письмом могут быть награждены организации, осуществляющие эффективную деятельность на территории Кировской области не менее трех лет, заслуги которых ранее отмечены документально подтвержденными поощрениями органов государственной власти Кировской области, органов местного самоуправления муниципальных образований Кировской области, организаций.</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 С ходатайством о награждении Благодарственным письмом (далее – ходатайство) в Законодательное Собрание Кировской области могут обращаться:</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4.1. Депутаты Законодательного Собрания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4.2. Комитеты Законодательного Собрания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4.3. Сенаторы Российской Федерации, депутаты Государственной Думы Федерального Собрания Российской Федерации.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4.4. Губернатор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4.5. Руководители органов государственной власти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lastRenderedPageBreak/>
        <w:t>4.6. Контрольно-счетная палата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4.7. Избирательная комиссия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4.8. Общественная палата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4.9. Главный федеральный инспектор по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4.10. Главы муниципальных районов, муниципальных округов и городских округов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4.11. Кировский областной суд, Арбитражный суд Кировской области, Второй арбитражный апелляционный суд.</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4.12. Руководители территориальных органов федеральных органов исполнительной власти.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4.13. Руководители предприятий, учреждений, организаций.</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4.14. Руководители региональных отделений общественных объединений.</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5. При представлении к награждению Благодарственным письмом граждан инициаторы ходатайства представляют следующие документы:</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5.1. Ходатайство на имя Председателя Законодательного Собрания Кировской области на бланке организации, подписанное руководителем организации, бланке лица, замещающего государственную должность, с указанием предполагаемой даты награждения.</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 xml:space="preserve">5.2. Наградной лист, заверенный подписью руководителя организации, соответствующей печатью (при ее наличии), содержащий автобиографические данные, сведения о трудовой деятельности и поощрениях гражданина, представляемого к награждению, </w:t>
      </w:r>
      <w:r w:rsidR="00737911">
        <w:rPr>
          <w:rFonts w:eastAsia="Calibri"/>
          <w:szCs w:val="28"/>
        </w:rPr>
        <w:t xml:space="preserve">по форме </w:t>
      </w:r>
      <w:r w:rsidRPr="00F54FD7">
        <w:rPr>
          <w:rFonts w:eastAsia="Calibri"/>
          <w:szCs w:val="28"/>
        </w:rPr>
        <w:t>согласно приложению 1</w:t>
      </w:r>
      <w:r w:rsidR="00737911">
        <w:rPr>
          <w:rFonts w:eastAsia="Calibri"/>
          <w:szCs w:val="28"/>
        </w:rPr>
        <w:t xml:space="preserve"> к настоящему Положению</w:t>
      </w:r>
      <w:r w:rsidRPr="00F54FD7">
        <w:rPr>
          <w:rFonts w:eastAsia="Calibri"/>
          <w:szCs w:val="28"/>
        </w:rPr>
        <w:t>.</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 xml:space="preserve">5.3. Характеристика, заверенная подписью руководителя организации, соответствующей печатью (при ее наличии), раскрывающая результаты труда, производственные, научные, общественные и иные достижения гражданина, представляемого к награждению.  </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5.4. Согласие гражданина, представляемого к награждению, на обработку его персональных данных</w:t>
      </w:r>
      <w:r w:rsidR="00737911">
        <w:rPr>
          <w:rFonts w:eastAsia="Calibri"/>
          <w:szCs w:val="28"/>
        </w:rPr>
        <w:t xml:space="preserve"> по форме</w:t>
      </w:r>
      <w:r w:rsidRPr="00F54FD7">
        <w:rPr>
          <w:rFonts w:eastAsia="Calibri"/>
          <w:szCs w:val="28"/>
        </w:rPr>
        <w:t xml:space="preserve"> согласно приложению 2</w:t>
      </w:r>
      <w:r w:rsidR="00737911">
        <w:rPr>
          <w:rFonts w:eastAsia="Calibri"/>
          <w:szCs w:val="28"/>
        </w:rPr>
        <w:t xml:space="preserve"> к настоящему Положению</w:t>
      </w:r>
      <w:r w:rsidRPr="00F54FD7">
        <w:rPr>
          <w:rFonts w:eastAsia="Calibri"/>
          <w:szCs w:val="28"/>
        </w:rPr>
        <w:t>.</w:t>
      </w:r>
    </w:p>
    <w:p w:rsidR="00D8791D" w:rsidRPr="00F54FD7" w:rsidRDefault="00D8791D" w:rsidP="00D8791D">
      <w:pPr>
        <w:autoSpaceDE w:val="0"/>
        <w:autoSpaceDN w:val="0"/>
        <w:adjustRightInd w:val="0"/>
        <w:ind w:firstLine="709"/>
        <w:jc w:val="both"/>
        <w:rPr>
          <w:rFonts w:eastAsia="Calibri"/>
          <w:szCs w:val="28"/>
        </w:rPr>
      </w:pPr>
      <w:bookmarkStart w:id="2" w:name="Par25"/>
      <w:bookmarkEnd w:id="2"/>
      <w:r w:rsidRPr="00F54FD7">
        <w:rPr>
          <w:rFonts w:eastAsia="Calibri"/>
          <w:szCs w:val="28"/>
        </w:rPr>
        <w:t>6. В случае смерти лица, представленного к награждению, ходатайство признается недействительным и возвращается его инициатору.</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7. При представлении к награждению Благодарственным письмом организации инициаторы ходатайства представляют следующие документы:</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 xml:space="preserve">7.1. Ходатайство </w:t>
      </w:r>
      <w:r w:rsidR="00737911">
        <w:rPr>
          <w:rFonts w:eastAsia="Calibri"/>
          <w:szCs w:val="28"/>
        </w:rPr>
        <w:t xml:space="preserve">по форме </w:t>
      </w:r>
      <w:r w:rsidRPr="00F54FD7">
        <w:rPr>
          <w:rFonts w:eastAsia="Calibri"/>
          <w:szCs w:val="28"/>
        </w:rPr>
        <w:t>согласно приложению 3</w:t>
      </w:r>
      <w:r w:rsidR="00737911">
        <w:rPr>
          <w:rFonts w:eastAsia="Calibri"/>
          <w:szCs w:val="28"/>
        </w:rPr>
        <w:t xml:space="preserve"> к настоящему Положению</w:t>
      </w:r>
      <w:r w:rsidRPr="00F54FD7">
        <w:rPr>
          <w:rFonts w:eastAsia="Calibri"/>
          <w:szCs w:val="28"/>
        </w:rPr>
        <w:t>.</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7.2. Отзыв представительного органа муниципального района, муниципального округа или городского округа Кировской области либо профильного комитета Законодательного Собрания Кировской области о поддержке ходатайства.</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 xml:space="preserve">8. Ходатайство с прилагаемыми документами направляются в Законодательное Собрание Кировской области не позднее чем за два месяца до предполагаемой даты награждения. </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lastRenderedPageBreak/>
        <w:t>9. Ходатайство подлежит регистрации в Законодательном Собрании Кировской области в день его поступления и</w:t>
      </w:r>
      <w:r w:rsidR="00737911">
        <w:rPr>
          <w:rFonts w:eastAsia="Calibri"/>
          <w:szCs w:val="28"/>
        </w:rPr>
        <w:t xml:space="preserve"> в </w:t>
      </w:r>
      <w:r w:rsidRPr="00F54FD7">
        <w:rPr>
          <w:rFonts w:eastAsia="Calibri"/>
          <w:szCs w:val="28"/>
        </w:rPr>
        <w:t>течени</w:t>
      </w:r>
      <w:r w:rsidR="00737911">
        <w:rPr>
          <w:rFonts w:eastAsia="Calibri"/>
          <w:szCs w:val="28"/>
        </w:rPr>
        <w:t>е</w:t>
      </w:r>
      <w:r w:rsidRPr="00F54FD7">
        <w:rPr>
          <w:rFonts w:eastAsia="Calibri"/>
          <w:szCs w:val="28"/>
        </w:rPr>
        <w:t xml:space="preserve"> трех рабочих дней направляется Председателем Законодательного Собрания Кировской области в комиссию по награждению наградами Законодательного Собрания</w:t>
      </w:r>
      <w:r w:rsidR="00737911">
        <w:rPr>
          <w:rFonts w:eastAsia="Calibri"/>
          <w:szCs w:val="28"/>
        </w:rPr>
        <w:t xml:space="preserve"> Кировской области</w:t>
      </w:r>
      <w:r w:rsidRPr="00F54FD7">
        <w:rPr>
          <w:rFonts w:eastAsia="Calibri"/>
          <w:szCs w:val="28"/>
        </w:rPr>
        <w:t xml:space="preserve"> (далее – комиссия).</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10. Комиссия является постоянно действующим органом Законодательного Собрания Кировской области, создаваемым на срок полномочий Законодательного Собрания Кировской области соответствующего созыва распоряжением Председателя Законодательного Собрания Кировской области из числа депутатов Законодательного Собрания Кировской области.</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Персональный состав комиссии утверждается распоряжением Председателя Законодательного Собрания Кировской области.</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Заседание комиссии правомочно, если на нем присутствует более половины членов комиссии.</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На заседании комиссии ведется протокол.</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Комиссия рассматривает ходатайство с прилагаемыми документами в течение 30 дней с даты их поступления в Законодательное Собрание Кировской области и принимает решение о награждении Благодарственным письмом либо об отказе в удовлетворении ходатайства.</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Решение принимается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Решение комиссии о награждении Благодарственным письмом оформляется распоряжением Председателя Законодательного Собрания Кировской области.</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 xml:space="preserve">Решение комиссии об отказе в удовлетворении ходатайства оформляется выпиской из протокола и в течение </w:t>
      </w:r>
      <w:r w:rsidR="00737911">
        <w:rPr>
          <w:rFonts w:eastAsia="Calibri"/>
          <w:szCs w:val="28"/>
          <w:lang w:eastAsia="en-US"/>
        </w:rPr>
        <w:t>десяти</w:t>
      </w:r>
      <w:r w:rsidRPr="00F54FD7">
        <w:rPr>
          <w:rFonts w:eastAsia="Calibri"/>
          <w:szCs w:val="28"/>
          <w:lang w:eastAsia="en-US"/>
        </w:rPr>
        <w:t xml:space="preserve"> рабочих дней со дня его принятия доводится до сведения инициатора ходатайств</w:t>
      </w:r>
      <w:r w:rsidR="00737911">
        <w:rPr>
          <w:rFonts w:eastAsia="Calibri"/>
          <w:szCs w:val="28"/>
          <w:lang w:eastAsia="en-US"/>
        </w:rPr>
        <w:t>а</w:t>
      </w:r>
      <w:r w:rsidRPr="00F54FD7">
        <w:rPr>
          <w:rFonts w:eastAsia="Calibri"/>
          <w:szCs w:val="28"/>
          <w:lang w:eastAsia="en-US"/>
        </w:rPr>
        <w:t xml:space="preserve"> аппаратом Законодательного Собрания Кировской области.</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11. В награждении Благодарственным письмом может быть отказано в случаях:</w:t>
      </w:r>
    </w:p>
    <w:p w:rsidR="00D8791D" w:rsidRPr="00F54FD7" w:rsidRDefault="00D8791D" w:rsidP="00D8791D">
      <w:pPr>
        <w:tabs>
          <w:tab w:val="left" w:pos="9356"/>
        </w:tabs>
        <w:ind w:right="-1" w:firstLine="709"/>
        <w:jc w:val="both"/>
        <w:rPr>
          <w:rFonts w:eastAsia="Calibri"/>
          <w:szCs w:val="28"/>
          <w:lang w:eastAsia="en-US"/>
        </w:rPr>
      </w:pPr>
      <w:r w:rsidRPr="00F54FD7">
        <w:rPr>
          <w:rFonts w:eastAsia="Calibri"/>
          <w:szCs w:val="28"/>
          <w:lang w:eastAsia="en-US"/>
        </w:rPr>
        <w:t xml:space="preserve">11.1. Непредставления документов, указанных в пунктах 5 и 7 </w:t>
      </w:r>
      <w:bookmarkStart w:id="3" w:name="_GoBack"/>
      <w:bookmarkEnd w:id="3"/>
      <w:r w:rsidRPr="00F54FD7">
        <w:rPr>
          <w:rFonts w:eastAsia="Calibri"/>
          <w:szCs w:val="28"/>
          <w:lang w:eastAsia="en-US"/>
        </w:rPr>
        <w:t>настоящего Положения.</w:t>
      </w:r>
    </w:p>
    <w:p w:rsidR="00D8791D" w:rsidRPr="00F54FD7" w:rsidRDefault="00D8791D" w:rsidP="00D8791D">
      <w:pPr>
        <w:autoSpaceDE w:val="0"/>
        <w:autoSpaceDN w:val="0"/>
        <w:adjustRightInd w:val="0"/>
        <w:ind w:firstLine="709"/>
        <w:jc w:val="both"/>
        <w:rPr>
          <w:rFonts w:eastAsia="Calibri"/>
          <w:szCs w:val="28"/>
          <w:lang w:eastAsia="en-US"/>
        </w:rPr>
      </w:pPr>
      <w:r w:rsidRPr="00F54FD7">
        <w:rPr>
          <w:rFonts w:eastAsia="Calibri"/>
          <w:szCs w:val="28"/>
          <w:lang w:eastAsia="en-US"/>
        </w:rPr>
        <w:t>11.2. Отсутствия оснований для награждения Благодарственным письмом, предусмотренных пунктами 1 – 3 настоящего Положения.</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lang w:eastAsia="en-US"/>
        </w:rPr>
        <w:t>12. В случае принятия комиссией решения, предусмотренного подпунктом 11.2 пункта 11 настоящего Положения, повторное ходатайство возможно не ранее чем через год со дня принятия указанного решения.</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13. Благодарственное письмо подписывается Председателем Законодательного Собрания Кировской области или лицом, исполняющим его обязанности. Подпись заверяется гербовой печатью Законодательного Собрания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lastRenderedPageBreak/>
        <w:t>14. Вручение Благодарственного письма производится в торжественной обстановке Председателем Законодательного Собрания Кировской области или по его поручению заместителями Председателя Законодательного Собрания Кировской области, депутатами Законодательного Собрания Кировской области, иными лицами.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 xml:space="preserve">15. Благодарственное письмо умерших награжденных лиц передаче членам семьи награжденного лица, иным лицам не подлежит. </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16. Граждане и организации, награжденные Благодарственным письмом, не могут представляться к награждению Благодарственным письмом за новые достижения ранее чем через три года после предыдущего награждения Благодарственным письмом.</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До истечения трехлетнего срока повторное награждение Благодарственным письмом возможно по инициативе Председателя Законодательного Собрания Кировской области в случаях, предусмотренных абзацем вторым пункта 2 настоящего Положения.</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17.</w:t>
      </w:r>
      <w:r w:rsidRPr="00F54FD7">
        <w:rPr>
          <w:rFonts w:eastAsia="Calibri"/>
          <w:szCs w:val="28"/>
          <w:lang w:eastAsia="en-US"/>
        </w:rPr>
        <w:t xml:space="preserve"> Организационно-техническое обеспечение награждения Благодарственным письмом осуществляет аппарат Законодательного Собрания Кировской области.</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18. Дубликат Благодарственного письма не выдается.</w:t>
      </w:r>
    </w:p>
    <w:p w:rsidR="00D8791D" w:rsidRPr="00F54FD7" w:rsidRDefault="00D8791D" w:rsidP="00D8791D">
      <w:pPr>
        <w:autoSpaceDE w:val="0"/>
        <w:autoSpaceDN w:val="0"/>
        <w:adjustRightInd w:val="0"/>
        <w:ind w:firstLine="709"/>
        <w:jc w:val="both"/>
        <w:rPr>
          <w:rFonts w:eastAsia="Calibri"/>
          <w:szCs w:val="28"/>
        </w:rPr>
      </w:pPr>
      <w:r w:rsidRPr="00F54FD7">
        <w:rPr>
          <w:rFonts w:eastAsia="Calibri"/>
          <w:szCs w:val="28"/>
        </w:rPr>
        <w:t>19. Распоряжение Председателя Законодательного Собрания Кировской области о награждении Благодарственным письмом публикуется на официальном сайте Законодательного Собрания Кировской области.</w:t>
      </w:r>
    </w:p>
    <w:p w:rsidR="00D8791D" w:rsidRPr="00F54FD7" w:rsidRDefault="00D8791D" w:rsidP="004B7DD2"/>
    <w:p w:rsidR="00D263CA" w:rsidRDefault="00DC1C28" w:rsidP="00DC1C28">
      <w:pPr>
        <w:jc w:val="center"/>
      </w:pPr>
      <w:r>
        <w:t>__________</w:t>
      </w:r>
    </w:p>
    <w:sectPr w:rsidR="00D263CA" w:rsidSect="003815DC">
      <w:headerReference w:type="default" r:id="rId6"/>
      <w:pgSz w:w="11907" w:h="16840"/>
      <w:pgMar w:top="1418" w:right="851" w:bottom="1134" w:left="1701" w:header="737"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C9" w:rsidRDefault="007D5DC9" w:rsidP="0078382F">
      <w:r>
        <w:separator/>
      </w:r>
    </w:p>
  </w:endnote>
  <w:endnote w:type="continuationSeparator" w:id="0">
    <w:p w:rsidR="007D5DC9" w:rsidRDefault="007D5DC9" w:rsidP="0078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C9" w:rsidRDefault="007D5DC9" w:rsidP="0078382F">
      <w:r>
        <w:separator/>
      </w:r>
    </w:p>
  </w:footnote>
  <w:footnote w:type="continuationSeparator" w:id="0">
    <w:p w:rsidR="007D5DC9" w:rsidRDefault="007D5DC9" w:rsidP="0078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487358"/>
      <w:docPartObj>
        <w:docPartGallery w:val="Page Numbers (Top of Page)"/>
        <w:docPartUnique/>
      </w:docPartObj>
    </w:sdtPr>
    <w:sdtEndPr>
      <w:rPr>
        <w:sz w:val="24"/>
        <w:szCs w:val="24"/>
      </w:rPr>
    </w:sdtEndPr>
    <w:sdtContent>
      <w:p w:rsidR="00DC1C28" w:rsidRPr="00737911" w:rsidRDefault="00DC1C28">
        <w:pPr>
          <w:pStyle w:val="a3"/>
          <w:jc w:val="center"/>
          <w:rPr>
            <w:sz w:val="24"/>
            <w:szCs w:val="24"/>
          </w:rPr>
        </w:pPr>
        <w:r w:rsidRPr="00737911">
          <w:rPr>
            <w:sz w:val="24"/>
            <w:szCs w:val="24"/>
          </w:rPr>
          <w:fldChar w:fldCharType="begin"/>
        </w:r>
        <w:r w:rsidRPr="00737911">
          <w:rPr>
            <w:sz w:val="24"/>
            <w:szCs w:val="24"/>
          </w:rPr>
          <w:instrText>PAGE   \* MERGEFORMAT</w:instrText>
        </w:r>
        <w:r w:rsidRPr="00737911">
          <w:rPr>
            <w:sz w:val="24"/>
            <w:szCs w:val="24"/>
          </w:rPr>
          <w:fldChar w:fldCharType="separate"/>
        </w:r>
        <w:r w:rsidR="00D568FE">
          <w:rPr>
            <w:noProof/>
            <w:sz w:val="24"/>
            <w:szCs w:val="24"/>
          </w:rPr>
          <w:t>3</w:t>
        </w:r>
        <w:r w:rsidRPr="00737911">
          <w:rPr>
            <w:sz w:val="24"/>
            <w:szCs w:val="24"/>
          </w:rPr>
          <w:fldChar w:fldCharType="end"/>
        </w:r>
      </w:p>
    </w:sdtContent>
  </w:sdt>
  <w:p w:rsidR="0078382F" w:rsidRDefault="007838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8A"/>
    <w:rsid w:val="003815DC"/>
    <w:rsid w:val="003C4CAB"/>
    <w:rsid w:val="004447E9"/>
    <w:rsid w:val="004B7DD2"/>
    <w:rsid w:val="00737911"/>
    <w:rsid w:val="0078382F"/>
    <w:rsid w:val="007D5DC9"/>
    <w:rsid w:val="00A7258A"/>
    <w:rsid w:val="00B064D4"/>
    <w:rsid w:val="00C73768"/>
    <w:rsid w:val="00D263CA"/>
    <w:rsid w:val="00D568FE"/>
    <w:rsid w:val="00D8791D"/>
    <w:rsid w:val="00DC1C28"/>
    <w:rsid w:val="00EC7E45"/>
    <w:rsid w:val="00FE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54C82D-9BF0-499F-8B09-9D480731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91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82F"/>
    <w:pPr>
      <w:tabs>
        <w:tab w:val="center" w:pos="4677"/>
        <w:tab w:val="right" w:pos="9355"/>
      </w:tabs>
    </w:pPr>
  </w:style>
  <w:style w:type="character" w:customStyle="1" w:styleId="a4">
    <w:name w:val="Верхний колонтитул Знак"/>
    <w:basedOn w:val="a0"/>
    <w:link w:val="a3"/>
    <w:uiPriority w:val="99"/>
    <w:rsid w:val="0078382F"/>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78382F"/>
    <w:pPr>
      <w:tabs>
        <w:tab w:val="center" w:pos="4677"/>
        <w:tab w:val="right" w:pos="9355"/>
      </w:tabs>
    </w:pPr>
  </w:style>
  <w:style w:type="character" w:customStyle="1" w:styleId="a6">
    <w:name w:val="Нижний колонтитул Знак"/>
    <w:basedOn w:val="a0"/>
    <w:link w:val="a5"/>
    <w:uiPriority w:val="99"/>
    <w:rsid w:val="0078382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Бабинцева Ольга Н.</dc:creator>
  <cp:lastModifiedBy>Соболева Галина Л.</cp:lastModifiedBy>
  <cp:revision>3</cp:revision>
  <dcterms:created xsi:type="dcterms:W3CDTF">2022-06-02T11:06:00Z</dcterms:created>
  <dcterms:modified xsi:type="dcterms:W3CDTF">2022-06-02T11:12:00Z</dcterms:modified>
</cp:coreProperties>
</file>